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Утверждена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постановлением администрации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городского округа Красноуфимск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  <w:u w:val="single"/>
        </w:rPr>
        <w:t>_21_</w:t>
      </w:r>
      <w:r>
        <w:rPr>
          <w:rFonts w:ascii="Liberation Serif" w:hAnsi="Liberation Serif"/>
          <w:sz w:val="28"/>
          <w:szCs w:val="28"/>
        </w:rPr>
        <w:t xml:space="preserve">»  </w:t>
      </w:r>
      <w:r>
        <w:rPr>
          <w:rFonts w:ascii="Liberation Serif" w:hAnsi="Liberation Serif"/>
          <w:sz w:val="28"/>
          <w:szCs w:val="28"/>
          <w:u w:val="single"/>
        </w:rPr>
        <w:t>_11__</w:t>
      </w:r>
      <w:r>
        <w:rPr>
          <w:rFonts w:ascii="Liberation Serif" w:hAnsi="Liberation Serif"/>
          <w:sz w:val="28"/>
          <w:szCs w:val="28"/>
        </w:rPr>
        <w:t xml:space="preserve">    2013 г.    №</w:t>
      </w:r>
      <w:r>
        <w:rPr>
          <w:rFonts w:ascii="Liberation Serif" w:hAnsi="Liberation Serif"/>
          <w:sz w:val="28"/>
          <w:szCs w:val="28"/>
          <w:u w:val="single"/>
        </w:rPr>
        <w:t>__1358___</w:t>
      </w:r>
      <w:r>
        <w:rPr>
          <w:rFonts w:ascii="Liberation Serif" w:hAnsi="Liberation Serif"/>
          <w:sz w:val="28"/>
          <w:szCs w:val="28"/>
        </w:rPr>
        <w:t xml:space="preserve">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МУНИЦИПАЛЬНАЯ  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"РАЗВИТИЕ КУЛЬТУРЫ  ГОРОДСКОГО ОКРУГА  КРАСНОУФИМСК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до 2028 года" </w:t>
      </w:r>
    </w:p>
    <w:p>
      <w:pPr>
        <w:pStyle w:val="Normal"/>
        <w:widowControl w:val="false"/>
        <w:spacing w:lineRule="auto" w:line="240" w:before="0"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Liberation Serif" w:hAnsi="Liberation Serif"/>
          <w:b/>
          <w:sz w:val="24"/>
          <w:szCs w:val="24"/>
        </w:rPr>
        <w:t>с изменениями от 31.12.2014г. №1656, от 12.01.2015 №1, от 31.12.2015г. №1164, от 30.12.2016г. №1189, от 27.02.2017г. №154, от 28.12.2017г. №1273, от 29.12.2018г. №958, от 24.12.2019г. №945, от 30.12.2020г. №873, от 30.12.2021 №990, от 30.12.2022 №1283, от 30.12.2022 №1287, от 29.12.2023 №</w:t>
      </w:r>
      <w:r>
        <w:rPr>
          <w:rFonts w:ascii="Liberation Serif" w:hAnsi="Liberation Serif"/>
          <w:b/>
          <w:sz w:val="24"/>
          <w:szCs w:val="24"/>
        </w:rPr>
        <w:t>1282</w:t>
      </w:r>
      <w:r>
        <w:rPr>
          <w:rFonts w:ascii="Liberation Serif" w:hAnsi="Liberation Serif"/>
          <w:b/>
          <w:sz w:val="24"/>
          <w:szCs w:val="24"/>
        </w:rPr>
        <w:t>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center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center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pacing w:lineRule="auto" w:line="240" w:before="0" w:after="0"/>
        <w:ind w:hanging="0" w:left="0"/>
        <w:jc w:val="right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/>
          <w:sz w:val="24"/>
          <w:szCs w:val="24"/>
        </w:rPr>
      </w:pPr>
      <w:bookmarkStart w:id="0" w:name="Par210"/>
      <w:bookmarkEnd w:id="0"/>
      <w:r>
        <w:rPr>
          <w:rFonts w:ascii="Liberation Serif" w:hAnsi="Liberation Serif"/>
          <w:b/>
          <w:sz w:val="24"/>
          <w:szCs w:val="24"/>
        </w:rPr>
        <w:t>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МУНИЦИПАЛЬНОЙ  ПРОГРАММЫ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"РАЗВИТИЕ КУЛЬТУРЫ  ГОРОДСКОГО ОКРУГА  КРАСНОУФИМСК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до 2028 года"</w:t>
      </w:r>
    </w:p>
    <w:tbl>
      <w:tblPr>
        <w:tblW w:w="974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19"/>
        <w:gridCol w:w="5527"/>
      </w:tblGrid>
      <w:tr>
        <w:trPr>
          <w:trHeight w:val="1581" w:hRule="atLeas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spacing w:before="0" w:after="20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Ответственный исполнитель        </w:t>
              <w:br/>
              <w:t>муниципальной программы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spacing w:before="0" w:after="24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Орган местного самоуправления уполномоченный в сфере культуры Управление культуры муниципального образования городской округ Красноуфимск</w:t>
            </w:r>
          </w:p>
        </w:tc>
      </w:tr>
      <w:tr>
        <w:trPr>
          <w:trHeight w:val="468" w:hRule="atLeas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Сроки реализации                 </w:t>
              <w:br/>
              <w:t>муниципальной программы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spacing w:lineRule="auto" w:line="276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2023-2028 годы</w:t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spacing w:before="0" w:after="20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Цели и задачи                    </w:t>
              <w:br/>
              <w:t>муниципальной программы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Цель: Духовно – нравственное развитие и реализация человеческого потенциала в условиях перехода к инновационному типу развития общества и экономики городского округа Красноуфимск;                  Задачи: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clear" w:pos="708"/>
                <w:tab w:val="left" w:pos="327" w:leader="none"/>
              </w:tabs>
              <w:ind w:firstLine="67" w:left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создание условий для развития творческого потенциала населения городского округа Красноуфимск, повышение доступности и качества услуг, оказываемых населению в сфере культуры;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clear" w:pos="708"/>
                <w:tab w:val="left" w:pos="327" w:leader="none"/>
              </w:tabs>
              <w:ind w:hanging="0" w:left="6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реализация современных технологий социального продвижения, обеспечение условий для развития инновационной деятельности муниципальных учреждений культуры  и искусства городского округа Красноуфимск;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clear" w:pos="708"/>
                <w:tab w:val="left" w:pos="327" w:leader="none"/>
              </w:tabs>
              <w:ind w:hanging="0" w:left="6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содействие укреплению единства российской нации, гармонизации межэтнических и межконфессиональных отношений, этнокультурному развитию, взаимодействию с национально-культурными общественными объединениями и казачеством в городском округе Красноуфимск;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clear" w:pos="708"/>
                <w:tab w:val="left" w:pos="327" w:leader="none"/>
              </w:tabs>
              <w:ind w:hanging="0" w:left="6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создание условий для сохранения и развития кадрового потенциала сферы культуры и искусства;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clear" w:pos="708"/>
                <w:tab w:val="left" w:pos="327" w:leader="none"/>
              </w:tabs>
              <w:ind w:hanging="0" w:left="6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совершенствование подготовки выпускников образовательных организаций в сфере культуры и искусства;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совершенствование организационных, экономических и правовых механизмов развития культуры.</w:t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spacing w:before="0" w:after="20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Перечень подпрограмм             </w:t>
              <w:br/>
              <w:t xml:space="preserve">муниципальной программы        </w:t>
              <w:br/>
              <w:t>(при их наличии)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spacing w:before="0" w:after="20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Подпрограмма 1 «Развитие культуры и искусства»;</w:t>
            </w:r>
          </w:p>
          <w:p>
            <w:pPr>
              <w:pStyle w:val="ConsPlusCell"/>
              <w:spacing w:before="0" w:after="20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Подпрограмма 2 «Развитие образования в сфере культуры и искусства»;</w:t>
            </w:r>
          </w:p>
          <w:p>
            <w:pPr>
              <w:pStyle w:val="ConsPlusCell"/>
              <w:spacing w:before="0" w:after="12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Подпрограмма 3 «Обеспечение реализации муниципальной программы «Развитие культуры  городского округа Красноуфимск в 2014-2024 годах»</w:t>
            </w:r>
          </w:p>
        </w:tc>
      </w:tr>
      <w:tr>
        <w:trPr>
          <w:trHeight w:val="529" w:hRule="atLeas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spacing w:before="0" w:after="20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Перечень основных                </w:t>
              <w:br/>
              <w:t xml:space="preserve">целевых показателей              </w:t>
              <w:br/>
              <w:t>муниципальной программы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tabs>
                <w:tab w:val="clear" w:pos="708"/>
                <w:tab w:val="left" w:pos="-75" w:leader="none"/>
              </w:tabs>
              <w:spacing w:before="0" w:after="20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1) увеличение численности участников культурно – досуговых мероприятий;</w:t>
            </w:r>
          </w:p>
          <w:p>
            <w:pPr>
              <w:pStyle w:val="ConsPlusCell"/>
              <w:tabs>
                <w:tab w:val="clear" w:pos="708"/>
                <w:tab w:val="left" w:pos="-75" w:leader="none"/>
              </w:tabs>
              <w:spacing w:before="0" w:after="20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2) посещаемость населением  городского округа Красноуфимск  и увеличение численности участников мероприятий, проводимых  Центром Культуры и Досуга;</w:t>
            </w:r>
          </w:p>
          <w:p>
            <w:pPr>
              <w:pStyle w:val="ConsPlusCell"/>
              <w:tabs>
                <w:tab w:val="clear" w:pos="708"/>
                <w:tab w:val="left" w:pos="-75" w:leader="none"/>
              </w:tabs>
              <w:spacing w:before="0" w:after="20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3) доля коллективов самодеятельного художественного творчества, имеющих звание «народный (образцовый)», «заслуженный» от общего количества коллективов ЦКиД;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4) </w:t>
            </w: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доля фильмов российского производства в общем объеме проката на территории городского округа Красноуфимск;</w:t>
            </w:r>
          </w:p>
          <w:p>
            <w:pPr>
              <w:pStyle w:val="Normal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5) Количество передвижных выставок;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6) доля муниципальных учреждений культуры, находящихся в удовлетворительном состоянии, в общем количестве таких учреждений;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7) количество граждан, принимающих участие в добровольческой деятельности (нарастающим итогом);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8) прирост числа зрителей на сеансах отечественных фильмов;</w:t>
            </w:r>
          </w:p>
          <w:p>
            <w:pPr>
              <w:pStyle w:val="Normal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9) число посещений культурных мероприятий;</w:t>
            </w:r>
          </w:p>
          <w:p>
            <w:pPr>
              <w:pStyle w:val="Normal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10) количество действующих виртуальных музеев;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11) доля музеев, имеющих веб-сайт в сети Интернет, в общем количестве муниципальных музеев;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12) доля музейных предметов, хранящихся в муниципальном музее, сведения о которых внесены в Государственный каталог Музейного фонда Российской Федерации;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13) доля оснащения современными системами и средствами обеспечения сохранности и безопасности фондов музея, людей и здания, от их общего количества;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14) доля центральных муниципальных библиотек, имеющих веб-сайты в сети Интернет, через которые обеспечен доступ к имеющимся у них электронным фондам и электронным каталогам, от общего количества этих библиотек;</w:t>
            </w:r>
          </w:p>
          <w:p>
            <w:pPr>
              <w:pStyle w:val="Normal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15) доступность для населения услуг Национальной электронной библиотеки;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16) доля областных государственных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17) увеличение количества ресурсов в информационно-телекоммуникационной сети «Интернет», позволяющих  получать информацию об отечественной культуре, отвечающих требованиям нормативных актов о размещении информации в информационно-телекоммуникационной сети «Интернет»;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18) доля граждан, положительно оценивающих состояние межнациональных отношений, в общем количестве граждан в городском округе Красноуфимск;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19) соотношение средней заработной платы работников учреждений культуры к средней заработной плате по экономике Свердловской области;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20) количество специалистов сферы культуры, повысивших квалификацию на базе центров непрерывного образования и повышения квалификации творческих и управленческих кадров в сфере культуры (нарастающим итогом);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21) количество обучающихся в учреждениях дополнительного образования в сфере культуры;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22) доля детей, привлекаемых к участию в творческих мероприятиях, в общем числе детей (ежегодно);</w:t>
            </w:r>
          </w:p>
          <w:p>
            <w:pPr>
              <w:pStyle w:val="Normal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23) доля расходов на культуру в бюджете городского округа Красноуфимск;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24) доля доходов муниципальных учреждений культуры от предпринимательской и иной приносящей доход деятельности в общем объеме финансовых средств таких учреждений;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25) доля муниципальных учреждений культуры и искусства, которым установлены муниципальные задания, в общем количестве муниципальных  учреждений культуры и искусства;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26) уровень удовлетворенности населения качеством и доступностью оказываемых населению муниципальных услуг в сфере культуры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27) доля объектов культурного наследия, относящихся к муниципальной собственности, находящихся в удовлетворительном состоянии в общем количестве объектов культурного наследия</w:t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Объемы финансирования            </w:t>
              <w:br/>
              <w:t xml:space="preserve">муниципальной программы        </w:t>
              <w:br/>
              <w:t>по годам реализации, тыс. рублей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ВСЕГО: 1 161 031,4 тыс. рублей                                </w:t>
              <w:br/>
              <w:t>в том числе:</w:t>
            </w:r>
          </w:p>
          <w:p>
            <w:pPr>
              <w:pStyle w:val="ConsPlusCell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</w:r>
          </w:p>
          <w:p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2023 – 177 105,5 тыс. рублей</w:t>
            </w:r>
          </w:p>
          <w:p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2024 – 192 464,5 тыс. рублей</w:t>
            </w:r>
          </w:p>
          <w:p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2025 – 193 897,0 тыс. рублей</w:t>
            </w:r>
          </w:p>
          <w:p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2026 – 203 970,7 тыс. рублей</w:t>
            </w:r>
          </w:p>
          <w:p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2027 – 203 970,7 тыс. рублей</w:t>
            </w:r>
          </w:p>
          <w:p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2028 – 203 970,7 тыс. рублей</w:t>
            </w:r>
          </w:p>
          <w:p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                                    </w:t>
            </w:r>
            <w:r>
              <w:rPr>
                <w:rFonts w:cs="Times New Roman" w:ascii="Liberation Serif" w:hAnsi="Liberation Serif"/>
                <w:sz w:val="28"/>
                <w:szCs w:val="28"/>
              </w:rPr>
              <w:br/>
              <w:t xml:space="preserve">из них:                                </w:t>
              <w:br/>
              <w:t xml:space="preserve">местный бюджет 1 161 031,4 тыс. рублей                                                    </w:t>
              <w:br/>
              <w:t>в том числе:</w:t>
            </w:r>
          </w:p>
          <w:p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2023 – 165 267,8тыс. рублей</w:t>
            </w:r>
          </w:p>
          <w:p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2024 – 189 954,5 тыс. рублей</w:t>
            </w:r>
          </w:p>
          <w:p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2025 – 193 897,0 тыс. рублей</w:t>
            </w:r>
          </w:p>
          <w:p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2026 – 203 970,7тыс. рублей</w:t>
            </w:r>
          </w:p>
          <w:p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2027 – 203 970,7 тыс. рублей</w:t>
            </w:r>
          </w:p>
          <w:p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2028 – 203 970,7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областной бюджет:   14 347,7 тыс. руб.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том числе:</w:t>
            </w:r>
          </w:p>
          <w:p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2023 – 11 837,7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2024 – 2 510,0 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2025 – 0 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2026 – 0 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2027 – 0 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2028 – 0 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федеральный бюджет:   0 тыс. руб.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том числе:</w:t>
            </w:r>
          </w:p>
          <w:p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2023 – 0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2024 – 0 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2025 – 0 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2026 – 0 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2027 – 0 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2028 – 0  тыс. рублей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внебюджетные источники:    не запланированы</w:t>
            </w:r>
          </w:p>
        </w:tc>
      </w:tr>
      <w:tr>
        <w:trPr/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Адрес размещения муниципальной</w:t>
              <w:br/>
              <w:t>программы в сети Интернет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spacing w:lineRule="auto" w:line="276" w:before="0" w:after="20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http</w:t>
            </w:r>
            <w:r>
              <w:rPr>
                <w:rFonts w:ascii="Liberation Serif" w:hAnsi="Liberation Serif"/>
                <w:sz w:val="28"/>
                <w:szCs w:val="28"/>
              </w:rPr>
              <w:t>://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go</w:t>
            </w: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kruf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midural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ru</w:t>
            </w:r>
            <w:r>
              <w:rPr>
                <w:rFonts w:ascii="Liberation Serif" w:hAnsi="Liberation Serif"/>
                <w:sz w:val="28"/>
                <w:szCs w:val="28"/>
              </w:rPr>
              <w:t>/</w:t>
            </w:r>
          </w:p>
        </w:tc>
      </w:tr>
    </w:tbl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before="0" w:after="20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d470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0d4707"/>
    <w:rPr>
      <w:rFonts w:cs="Times New Roman"/>
      <w:b/>
      <w:bCs/>
    </w:rPr>
  </w:style>
  <w:style w:type="character" w:styleId="KCPictureCaption" w:customStyle="1">
    <w:name w:val="KC Picture Caption Знак"/>
    <w:link w:val="KCPictureCaption1"/>
    <w:qFormat/>
    <w:locked/>
    <w:rsid w:val="00bf1eee"/>
    <w:rPr>
      <w:rFonts w:ascii="Arial" w:hAnsi="Arial"/>
      <w:kern w:val="2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нак Знак1 Знак Знак Знак Знак Знак Знак Знак"/>
    <w:basedOn w:val="Normal"/>
    <w:qFormat/>
    <w:rsid w:val="000d4707"/>
    <w:pPr>
      <w:spacing w:lineRule="auto" w:line="240" w:beforeAutospacing="1" w:afterAutospacing="1"/>
    </w:pPr>
    <w:rPr>
      <w:rFonts w:ascii="Tahoma" w:hAnsi="Tahoma"/>
      <w:sz w:val="20"/>
      <w:szCs w:val="20"/>
      <w:lang w:val="en-US"/>
    </w:rPr>
  </w:style>
  <w:style w:type="paragraph" w:styleId="ConsPlusCell" w:customStyle="1">
    <w:name w:val="ConsPlusCell"/>
    <w:qFormat/>
    <w:rsid w:val="000d4707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11" w:customStyle="1">
    <w:name w:val="Абзац списка1"/>
    <w:basedOn w:val="Normal"/>
    <w:qFormat/>
    <w:rsid w:val="000d4707"/>
    <w:pPr>
      <w:spacing w:lineRule="auto" w:line="240" w:before="0" w:after="0"/>
      <w:ind w:left="720"/>
    </w:pPr>
    <w:rPr>
      <w:rFonts w:ascii="Times New Roman" w:hAnsi="Times New Roman"/>
      <w:sz w:val="28"/>
      <w:szCs w:val="28"/>
      <w:lang w:eastAsia="ru-RU"/>
    </w:rPr>
  </w:style>
  <w:style w:type="paragraph" w:styleId="NormalWeb">
    <w:name w:val="Normal (Web)"/>
    <w:basedOn w:val="Normal"/>
    <w:qFormat/>
    <w:rsid w:val="000d4707"/>
    <w:pPr>
      <w:spacing w:lineRule="auto" w:line="240" w:beforeAutospacing="1" w:afterAutospacing="1"/>
      <w:jc w:val="both"/>
    </w:pPr>
    <w:rPr>
      <w:rFonts w:ascii="Arial" w:hAnsi="Arial" w:cs="Arial"/>
      <w:color w:val="766B71"/>
      <w:sz w:val="24"/>
      <w:szCs w:val="24"/>
      <w:lang w:eastAsia="ru-RU"/>
    </w:rPr>
  </w:style>
  <w:style w:type="paragraph" w:styleId="Title">
    <w:name w:val="Title"/>
    <w:basedOn w:val="Normal"/>
    <w:qFormat/>
    <w:rsid w:val="000d4707"/>
    <w:pPr>
      <w:spacing w:lineRule="auto" w:line="240" w:before="0" w:after="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KCPictureCaption1" w:customStyle="1">
    <w:name w:val="KC Picture Caption"/>
    <w:basedOn w:val="Normal"/>
    <w:link w:val="KCPictureCaption"/>
    <w:qFormat/>
    <w:rsid w:val="00bf1eee"/>
    <w:pPr>
      <w:tabs>
        <w:tab w:val="clear" w:pos="708"/>
        <w:tab w:val="left" w:pos="851" w:leader="none"/>
        <w:tab w:val="left" w:pos="1985" w:leader="none"/>
      </w:tabs>
      <w:spacing w:lineRule="auto" w:line="240" w:before="120" w:after="120"/>
      <w:ind w:left="851"/>
    </w:pPr>
    <w:rPr>
      <w:rFonts w:ascii="Arial" w:hAnsi="Arial"/>
      <w:kern w:val="2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4707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5BB9-E917-43D7-9D7C-868A7BCC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LibreOffice/7.6.2.1$Windows_X86_64 LibreOffice_project/56f7684011345957bbf33a7ee678afaf4d2ba333</Application>
  <AppVersion>15.0000</AppVersion>
  <Pages>6</Pages>
  <Words>827</Words>
  <Characters>5900</Characters>
  <CharactersWithSpaces>6994</CharactersWithSpaces>
  <Paragraphs>90</Paragraphs>
  <Company>(c)D@rk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2021-12-26T10:29:00Z</dcterms:created>
  <dc:creator>User</dc:creator>
  <dc:description/>
  <dc:language>ru-RU</dc:language>
  <cp:lastModifiedBy/>
  <cp:lastPrinted>2022-01-11T10:41:00Z</cp:lastPrinted>
  <dcterms:modified xsi:type="dcterms:W3CDTF">2024-02-28T09:48:37Z</dcterms:modified>
  <cp:revision>21</cp:revision>
  <dc:subject/>
  <dc:title>Утверждена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